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63223B" w:rsidR="003A0C18" w:rsidP="0063223B" w:rsidRDefault="003A0C18" w14:paraId="2878C606" w14:textId="77777777">
      <w:pPr>
        <w:jc w:val="center"/>
        <w:rPr>
          <w:rFonts w:ascii="Times New Roman" w:hAnsi="Times New Roman" w:cs="Times New Roman"/>
          <w:b/>
          <w:bCs/>
          <w:sz w:val="24"/>
          <w:szCs w:val="24"/>
        </w:rPr>
      </w:pPr>
      <w:r w:rsidRPr="0063223B">
        <w:rPr>
          <w:rFonts w:ascii="Times New Roman" w:hAnsi="Times New Roman" w:cs="Times New Roman"/>
          <w:b/>
          <w:bCs/>
          <w:sz w:val="24"/>
          <w:szCs w:val="24"/>
        </w:rPr>
        <w:t>MEMO</w:t>
      </w:r>
    </w:p>
    <w:p w:rsidR="001614EE" w:rsidRDefault="001614EE" w14:paraId="61FB77F1" w14:textId="77777777">
      <w:pPr>
        <w:rPr>
          <w:rFonts w:ascii="Times New Roman" w:hAnsi="Times New Roman" w:cs="Times New Roman"/>
          <w:sz w:val="24"/>
          <w:szCs w:val="24"/>
        </w:rPr>
      </w:pPr>
      <w:r>
        <w:rPr>
          <w:rFonts w:ascii="Times New Roman" w:hAnsi="Times New Roman" w:cs="Times New Roman"/>
          <w:sz w:val="24"/>
          <w:szCs w:val="24"/>
        </w:rPr>
        <w:t>To: Interested Parties</w:t>
      </w:r>
    </w:p>
    <w:p w:rsidR="0062442F" w:rsidRDefault="001614EE" w14:paraId="68FCC983" w14:textId="77777777">
      <w:pPr>
        <w:rPr>
          <w:rFonts w:ascii="Times New Roman" w:hAnsi="Times New Roman" w:cs="Times New Roman"/>
          <w:sz w:val="24"/>
          <w:szCs w:val="24"/>
        </w:rPr>
      </w:pPr>
      <w:r>
        <w:rPr>
          <w:rFonts w:ascii="Times New Roman" w:hAnsi="Times New Roman" w:cs="Times New Roman"/>
          <w:sz w:val="24"/>
          <w:szCs w:val="24"/>
        </w:rPr>
        <w:t>FM</w:t>
      </w:r>
      <w:r w:rsidR="00EF488B">
        <w:rPr>
          <w:rFonts w:ascii="Times New Roman" w:hAnsi="Times New Roman" w:cs="Times New Roman"/>
          <w:sz w:val="24"/>
          <w:szCs w:val="24"/>
        </w:rPr>
        <w:t>:  Marchant Wentworth, Wentworth Green Strategies</w:t>
      </w:r>
    </w:p>
    <w:p w:rsidR="008807F9" w:rsidRDefault="644A0EF5" w14:paraId="2C078E63" w14:textId="1604CB9C">
      <w:pPr>
        <w:rPr>
          <w:rFonts w:ascii="Times New Roman" w:hAnsi="Times New Roman" w:cs="Times New Roman"/>
          <w:sz w:val="24"/>
          <w:szCs w:val="24"/>
        </w:rPr>
      </w:pPr>
      <w:r w:rsidRPr="644A0EF5">
        <w:rPr>
          <w:rFonts w:ascii="Times New Roman" w:hAnsi="Times New Roman" w:cs="Times New Roman"/>
          <w:sz w:val="24"/>
          <w:szCs w:val="24"/>
        </w:rPr>
        <w:t xml:space="preserve">RE: </w:t>
      </w:r>
      <w:r w:rsidR="00882844">
        <w:rPr>
          <w:rFonts w:ascii="Times New Roman" w:hAnsi="Times New Roman" w:cs="Times New Roman"/>
          <w:sz w:val="24"/>
          <w:szCs w:val="24"/>
        </w:rPr>
        <w:t xml:space="preserve">Selected </w:t>
      </w:r>
      <w:r w:rsidRPr="644A0EF5">
        <w:rPr>
          <w:rFonts w:ascii="Times New Roman" w:hAnsi="Times New Roman" w:cs="Times New Roman"/>
          <w:sz w:val="24"/>
          <w:szCs w:val="24"/>
        </w:rPr>
        <w:t xml:space="preserve">Provisions in the Build Back Better Act (HR5376) </w:t>
      </w:r>
      <w:r w:rsidRPr="644A0EF5" w:rsidR="00F9115B">
        <w:rPr>
          <w:rFonts w:ascii="Times New Roman" w:hAnsi="Times New Roman" w:cs="Times New Roman"/>
          <w:sz w:val="24"/>
          <w:szCs w:val="24"/>
        </w:rPr>
        <w:t xml:space="preserve">(Reconciliation) </w:t>
      </w:r>
      <w:r w:rsidRPr="644A0EF5">
        <w:rPr>
          <w:rFonts w:ascii="Times New Roman" w:hAnsi="Times New Roman" w:cs="Times New Roman"/>
          <w:sz w:val="24"/>
          <w:szCs w:val="24"/>
        </w:rPr>
        <w:t>of Interest to DC Water</w:t>
      </w:r>
    </w:p>
    <w:p w:rsidR="0062442F" w:rsidRDefault="028A5377" w14:paraId="38AA44E7" w14:textId="6379ED4F">
      <w:pPr>
        <w:rPr>
          <w:rFonts w:ascii="Times New Roman" w:hAnsi="Times New Roman" w:cs="Times New Roman"/>
          <w:sz w:val="24"/>
          <w:szCs w:val="24"/>
        </w:rPr>
      </w:pPr>
      <w:r w:rsidRPr="2CE1B60A" w:rsidR="2CE1B60A">
        <w:rPr>
          <w:rFonts w:ascii="Times New Roman" w:hAnsi="Times New Roman" w:cs="Times New Roman"/>
          <w:sz w:val="24"/>
          <w:szCs w:val="24"/>
        </w:rPr>
        <w:t>DATE: November 22, 2021</w:t>
      </w:r>
    </w:p>
    <w:p w:rsidRPr="00AE0CD1" w:rsidR="008652D2" w:rsidP="028A5377" w:rsidRDefault="00B34B53" w14:paraId="1E3CBF95" w14:textId="133FB222">
      <w:pPr>
        <w:rPr>
          <w:rFonts w:ascii="Times New Roman" w:hAnsi="Times New Roman" w:cs="Times New Roman"/>
          <w:sz w:val="24"/>
          <w:szCs w:val="24"/>
        </w:rPr>
      </w:pPr>
      <w:r w:rsidRPr="2F2799AC" w:rsidR="2F2799AC">
        <w:rPr>
          <w:rFonts w:ascii="Times New Roman" w:hAnsi="Times New Roman" w:cs="Times New Roman"/>
          <w:b w:val="1"/>
          <w:bCs w:val="1"/>
          <w:sz w:val="24"/>
          <w:szCs w:val="24"/>
        </w:rPr>
        <w:t>Background:</w:t>
      </w:r>
      <w:r w:rsidRPr="2F2799AC" w:rsidR="2F2799AC">
        <w:rPr>
          <w:rFonts w:ascii="Times New Roman" w:hAnsi="Times New Roman" w:cs="Times New Roman"/>
          <w:sz w:val="24"/>
          <w:szCs w:val="24"/>
        </w:rPr>
        <w:t xml:space="preserve"> The House passed HR 5376 -- the Build Back Better Act -- as part of Reconciliation on November 19, 2021.  The measure then goes to the Senate, where it will be subject to a </w:t>
      </w:r>
      <w:proofErr w:type="gramStart"/>
      <w:r w:rsidRPr="2F2799AC" w:rsidR="2F2799AC">
        <w:rPr>
          <w:rFonts w:ascii="Times New Roman" w:hAnsi="Times New Roman" w:cs="Times New Roman"/>
          <w:sz w:val="24"/>
          <w:szCs w:val="24"/>
        </w:rPr>
        <w:t>50 vote</w:t>
      </w:r>
      <w:proofErr w:type="gramEnd"/>
      <w:r w:rsidRPr="2F2799AC" w:rsidR="2F2799AC">
        <w:rPr>
          <w:rFonts w:ascii="Times New Roman" w:hAnsi="Times New Roman" w:cs="Times New Roman"/>
          <w:sz w:val="24"/>
          <w:szCs w:val="24"/>
        </w:rPr>
        <w:t xml:space="preserve"> rule.  The Senate Majority Leader has vowed to have the Senate complete its work by Christmas however any changes made by the Senate will necessitate a conference with the House to resolve differences. The timetable for completion of the conference is unclear. The negotiated product must then be approved by both the House and Senate and sent to the President for his signature.</w:t>
      </w:r>
    </w:p>
    <w:p w:rsidR="008652D2" w:rsidP="028A5377" w:rsidRDefault="028A5377" w14:paraId="2BCEFA6B" w14:textId="790B5B86">
      <w:pPr>
        <w:rPr>
          <w:rFonts w:ascii="Times New Roman" w:hAnsi="Times New Roman" w:cs="Times New Roman"/>
          <w:sz w:val="24"/>
          <w:szCs w:val="24"/>
        </w:rPr>
      </w:pPr>
      <w:r w:rsidRPr="028A5377">
        <w:rPr>
          <w:rFonts w:ascii="Times New Roman" w:hAnsi="Times New Roman" w:cs="Times New Roman"/>
          <w:b/>
          <w:bCs/>
          <w:sz w:val="24"/>
          <w:szCs w:val="24"/>
        </w:rPr>
        <w:t xml:space="preserve">Lead Service Line Replacement </w:t>
      </w:r>
      <w:r w:rsidR="00531687">
        <w:rPr>
          <w:rFonts w:ascii="Times New Roman" w:hAnsi="Times New Roman" w:cs="Times New Roman"/>
          <w:b/>
          <w:bCs/>
          <w:sz w:val="24"/>
          <w:szCs w:val="24"/>
        </w:rPr>
        <w:t>(</w:t>
      </w:r>
      <w:r w:rsidRPr="028A5377">
        <w:rPr>
          <w:rFonts w:ascii="Times New Roman" w:hAnsi="Times New Roman" w:cs="Times New Roman"/>
          <w:sz w:val="24"/>
          <w:szCs w:val="24"/>
        </w:rPr>
        <w:t>Section 30301</w:t>
      </w:r>
      <w:r w:rsidR="00531687">
        <w:rPr>
          <w:rFonts w:ascii="Times New Roman" w:hAnsi="Times New Roman" w:cs="Times New Roman"/>
          <w:sz w:val="24"/>
          <w:szCs w:val="24"/>
        </w:rPr>
        <w:t>).</w:t>
      </w:r>
      <w:r w:rsidRPr="028A5377">
        <w:rPr>
          <w:rFonts w:ascii="Times New Roman" w:hAnsi="Times New Roman" w:cs="Times New Roman"/>
          <w:sz w:val="24"/>
          <w:szCs w:val="24"/>
        </w:rPr>
        <w:t xml:space="preserve"> </w:t>
      </w:r>
    </w:p>
    <w:p w:rsidR="008652D2" w:rsidRDefault="028A5377" w14:paraId="673DF2F1" w14:textId="6C8CB716">
      <w:pPr>
        <w:rPr>
          <w:rFonts w:ascii="Times New Roman" w:hAnsi="Times New Roman" w:cs="Times New Roman"/>
          <w:sz w:val="24"/>
          <w:szCs w:val="24"/>
        </w:rPr>
      </w:pPr>
      <w:r w:rsidRPr="64CBFBAF" w:rsidR="64CBFBAF">
        <w:rPr>
          <w:rFonts w:ascii="Times New Roman" w:hAnsi="Times New Roman" w:cs="Times New Roman"/>
          <w:sz w:val="24"/>
          <w:szCs w:val="24"/>
        </w:rPr>
        <w:t xml:space="preserve">This provision appropriates $30 billion in grants under Sec. 1452 of the Safe Drinking Water Act for full lead line replacement to remain available until expended of which $20 billion shall be for </w:t>
      </w:r>
      <w:r w:rsidRPr="64CBFBAF" w:rsidR="64CBFBAF">
        <w:rPr>
          <w:rFonts w:ascii="Times New Roman" w:hAnsi="Times New Roman" w:cs="Times New Roman"/>
          <w:sz w:val="24"/>
          <w:szCs w:val="24"/>
        </w:rPr>
        <w:t>disadvantaged</w:t>
      </w:r>
      <w:r w:rsidRPr="64CBFBAF" w:rsidR="64CBFBAF">
        <w:rPr>
          <w:rFonts w:ascii="Times New Roman" w:hAnsi="Times New Roman" w:cs="Times New Roman"/>
          <w:sz w:val="24"/>
          <w:szCs w:val="24"/>
        </w:rPr>
        <w:t xml:space="preserve"> communities.</w:t>
      </w:r>
    </w:p>
    <w:p w:rsidR="0086457D" w:rsidP="0086457D" w:rsidRDefault="0086457D" w14:paraId="2624EF79" w14:textId="7700BC0D">
      <w:pPr>
        <w:rPr>
          <w:rFonts w:ascii="Times New Roman" w:hAnsi="Times New Roman" w:cs="Times New Roman"/>
          <w:sz w:val="24"/>
          <w:szCs w:val="24"/>
        </w:rPr>
      </w:pPr>
      <w:r w:rsidRPr="007F7F68">
        <w:rPr>
          <w:rFonts w:ascii="Times New Roman" w:hAnsi="Times New Roman" w:cs="Times New Roman"/>
          <w:b/>
          <w:bCs/>
          <w:sz w:val="24"/>
          <w:szCs w:val="24"/>
        </w:rPr>
        <w:t>Grants for State Programs</w:t>
      </w:r>
      <w:r>
        <w:rPr>
          <w:rFonts w:ascii="Times New Roman" w:hAnsi="Times New Roman" w:cs="Times New Roman"/>
          <w:sz w:val="24"/>
          <w:szCs w:val="24"/>
        </w:rPr>
        <w:t xml:space="preserve"> </w:t>
      </w:r>
      <w:r w:rsidR="00640EEF">
        <w:rPr>
          <w:rFonts w:ascii="Times New Roman" w:hAnsi="Times New Roman" w:cs="Times New Roman"/>
          <w:sz w:val="24"/>
          <w:szCs w:val="24"/>
        </w:rPr>
        <w:t>(</w:t>
      </w:r>
      <w:r>
        <w:rPr>
          <w:rFonts w:ascii="Times New Roman" w:hAnsi="Times New Roman" w:cs="Times New Roman"/>
          <w:sz w:val="24"/>
          <w:szCs w:val="24"/>
        </w:rPr>
        <w:t>Section 30303</w:t>
      </w:r>
      <w:r w:rsidR="00640EEF">
        <w:rPr>
          <w:rFonts w:ascii="Times New Roman" w:hAnsi="Times New Roman" w:cs="Times New Roman"/>
          <w:sz w:val="24"/>
          <w:szCs w:val="24"/>
        </w:rPr>
        <w:t>)</w:t>
      </w:r>
      <w:r>
        <w:rPr>
          <w:rFonts w:ascii="Times New Roman" w:hAnsi="Times New Roman" w:cs="Times New Roman"/>
          <w:sz w:val="24"/>
          <w:szCs w:val="24"/>
        </w:rPr>
        <w:t>.</w:t>
      </w:r>
    </w:p>
    <w:p w:rsidR="0086457D" w:rsidP="0086457D" w:rsidRDefault="095B9930" w14:paraId="7203AFD9" w14:textId="7A167D46">
      <w:pPr>
        <w:rPr>
          <w:rFonts w:ascii="Times New Roman" w:hAnsi="Times New Roman" w:cs="Times New Roman"/>
          <w:sz w:val="24"/>
          <w:szCs w:val="24"/>
        </w:rPr>
      </w:pPr>
      <w:r w:rsidRPr="776EDE38" w:rsidR="776EDE38">
        <w:rPr>
          <w:rFonts w:ascii="Times New Roman" w:hAnsi="Times New Roman" w:cs="Times New Roman"/>
          <w:sz w:val="24"/>
          <w:szCs w:val="24"/>
        </w:rPr>
        <w:t>The provision appropriates $100 million for Sec 1443 of the Safe Drinking Water Act pertaining to state grant programs to remain available until expended.</w:t>
      </w:r>
    </w:p>
    <w:p w:rsidR="0021124C" w:rsidP="002D4D50" w:rsidRDefault="005056D3" w14:paraId="3FD31867" w14:textId="47AFB1D4">
      <w:pPr>
        <w:rPr>
          <w:rFonts w:ascii="Times New Roman" w:hAnsi="Times New Roman" w:cs="Times New Roman"/>
          <w:sz w:val="24"/>
          <w:szCs w:val="24"/>
        </w:rPr>
      </w:pPr>
      <w:r w:rsidRPr="00D9767A">
        <w:rPr>
          <w:rFonts w:ascii="Times New Roman" w:hAnsi="Times New Roman" w:cs="Times New Roman"/>
          <w:b/>
          <w:bCs/>
          <w:sz w:val="24"/>
          <w:szCs w:val="24"/>
        </w:rPr>
        <w:t>Grants to Reduce Lead in School Drinking Water</w:t>
      </w:r>
      <w:r w:rsidR="00531687">
        <w:rPr>
          <w:rFonts w:ascii="Times New Roman" w:hAnsi="Times New Roman" w:cs="Times New Roman"/>
          <w:b/>
          <w:bCs/>
          <w:sz w:val="24"/>
          <w:szCs w:val="24"/>
        </w:rPr>
        <w:t xml:space="preserve"> </w:t>
      </w:r>
      <w:r w:rsidR="0021124C">
        <w:rPr>
          <w:rFonts w:ascii="Times New Roman" w:hAnsi="Times New Roman" w:cs="Times New Roman"/>
          <w:sz w:val="24"/>
          <w:szCs w:val="24"/>
        </w:rPr>
        <w:t>(Section 30305)</w:t>
      </w:r>
      <w:r w:rsidR="00531687">
        <w:rPr>
          <w:rFonts w:ascii="Times New Roman" w:hAnsi="Times New Roman" w:cs="Times New Roman"/>
          <w:sz w:val="24"/>
          <w:szCs w:val="24"/>
        </w:rPr>
        <w:t>.</w:t>
      </w:r>
    </w:p>
    <w:p w:rsidR="00391497" w:rsidP="776EDE38" w:rsidRDefault="00794973" w14:paraId="6F48FF35" w14:textId="35AA1539">
      <w:pPr>
        <w:pStyle w:val="Normal"/>
        <w:rPr>
          <w:rFonts w:ascii="Times New Roman" w:hAnsi="Times New Roman" w:cs="Times New Roman"/>
          <w:sz w:val="24"/>
          <w:szCs w:val="24"/>
        </w:rPr>
      </w:pPr>
      <w:r w:rsidRPr="2F2799AC" w:rsidR="2F2799AC">
        <w:rPr>
          <w:rFonts w:ascii="Times New Roman" w:hAnsi="Times New Roman" w:cs="Times New Roman"/>
          <w:sz w:val="24"/>
          <w:szCs w:val="24"/>
        </w:rPr>
        <w:t xml:space="preserve">Appropriates $700 million for grants to states to install and maintain lead filtration stations at schools and replace water fountains in schools </w:t>
      </w:r>
      <w:r w:rsidRPr="2F2799AC" w:rsidR="2F2799A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to remain available until expended</w:t>
      </w:r>
      <w:r w:rsidRPr="2F2799AC" w:rsidR="2F2799AC">
        <w:rPr>
          <w:rFonts w:ascii="Times New Roman" w:hAnsi="Times New Roman" w:cs="Times New Roman"/>
          <w:sz w:val="24"/>
          <w:szCs w:val="24"/>
        </w:rPr>
        <w:t>. Of this amount, $420 million is for the installation and maintenance of lead filtration stations and childcare programs, $150 million is for grants under sec 1464 (d) pertaining to assisting local education agencies in the remediation of lead in drinking water and from other sources and $50 million is for grants under Sec. 1465 (b)(1) for replacement of water fountains in schools.</w:t>
      </w:r>
    </w:p>
    <w:p w:rsidR="002D4D50" w:rsidP="002D4D50" w:rsidRDefault="007C7698" w14:paraId="7E7D0F88" w14:textId="036A7306">
      <w:pPr>
        <w:rPr>
          <w:rFonts w:ascii="Times New Roman" w:hAnsi="Times New Roman" w:cs="Times New Roman"/>
          <w:sz w:val="24"/>
          <w:szCs w:val="24"/>
        </w:rPr>
      </w:pPr>
      <w:r w:rsidRPr="002D4D50">
        <w:rPr>
          <w:rFonts w:ascii="Times New Roman" w:hAnsi="Times New Roman" w:cs="Times New Roman"/>
          <w:b/>
          <w:bCs/>
          <w:sz w:val="24"/>
          <w:szCs w:val="24"/>
        </w:rPr>
        <w:t xml:space="preserve">Funding for Water Assistance </w:t>
      </w:r>
      <w:r w:rsidR="00531687">
        <w:rPr>
          <w:rFonts w:ascii="Times New Roman" w:hAnsi="Times New Roman" w:cs="Times New Roman"/>
          <w:b/>
          <w:bCs/>
          <w:sz w:val="24"/>
          <w:szCs w:val="24"/>
        </w:rPr>
        <w:t>(</w:t>
      </w:r>
      <w:r w:rsidRPr="00F12014">
        <w:rPr>
          <w:rFonts w:ascii="Times New Roman" w:hAnsi="Times New Roman" w:cs="Times New Roman"/>
          <w:sz w:val="24"/>
          <w:szCs w:val="24"/>
        </w:rPr>
        <w:t>Sectio</w:t>
      </w:r>
      <w:r w:rsidRPr="00F12014" w:rsidR="00687461">
        <w:rPr>
          <w:rFonts w:ascii="Times New Roman" w:hAnsi="Times New Roman" w:cs="Times New Roman"/>
          <w:sz w:val="24"/>
          <w:szCs w:val="24"/>
        </w:rPr>
        <w:t xml:space="preserve">n </w:t>
      </w:r>
      <w:r w:rsidR="00687461">
        <w:rPr>
          <w:rFonts w:ascii="Times New Roman" w:hAnsi="Times New Roman" w:cs="Times New Roman"/>
          <w:sz w:val="24"/>
          <w:szCs w:val="24"/>
        </w:rPr>
        <w:t>303</w:t>
      </w:r>
      <w:r w:rsidR="00C247CF">
        <w:rPr>
          <w:rFonts w:ascii="Times New Roman" w:hAnsi="Times New Roman" w:cs="Times New Roman"/>
          <w:sz w:val="24"/>
          <w:szCs w:val="24"/>
        </w:rPr>
        <w:t>11</w:t>
      </w:r>
      <w:r w:rsidR="00531687">
        <w:rPr>
          <w:rFonts w:ascii="Times New Roman" w:hAnsi="Times New Roman" w:cs="Times New Roman"/>
          <w:sz w:val="24"/>
          <w:szCs w:val="24"/>
        </w:rPr>
        <w:t>).</w:t>
      </w:r>
      <w:r w:rsidR="00687461">
        <w:rPr>
          <w:rFonts w:ascii="Times New Roman" w:hAnsi="Times New Roman" w:cs="Times New Roman"/>
          <w:sz w:val="24"/>
          <w:szCs w:val="24"/>
        </w:rPr>
        <w:t xml:space="preserve"> </w:t>
      </w:r>
      <w:bookmarkStart w:name="_Hlk87454482" w:id="0"/>
    </w:p>
    <w:p w:rsidR="00F51058" w:rsidP="776EDE38" w:rsidRDefault="00F51058" w14:paraId="362B90ED" w14:textId="3876CDB1">
      <w:pPr>
        <w:pStyle w:val="Normal"/>
        <w:rPr>
          <w:rFonts w:ascii="Times New Roman" w:hAnsi="Times New Roman" w:eastAsia="Times New Roman" w:cs="Times New Roman"/>
          <w:noProof w:val="0"/>
          <w:sz w:val="24"/>
          <w:szCs w:val="24"/>
          <w:lang w:val="en-US"/>
        </w:rPr>
      </w:pPr>
      <w:r w:rsidRPr="2CE1B60A" w:rsidR="2CE1B60A">
        <w:rPr>
          <w:rFonts w:ascii="Times New Roman" w:hAnsi="Times New Roman" w:cs="Times New Roman"/>
          <w:sz w:val="24"/>
          <w:szCs w:val="24"/>
        </w:rPr>
        <w:t xml:space="preserve">This provision provides $500 million to states to assist </w:t>
      </w:r>
      <w:r w:rsidRPr="2CE1B60A" w:rsidR="2CE1B60A">
        <w:rPr>
          <w:rFonts w:ascii="Times New Roman" w:hAnsi="Times New Roman" w:cs="Times New Roman"/>
          <w:sz w:val="24"/>
          <w:szCs w:val="24"/>
        </w:rPr>
        <w:t>low-income</w:t>
      </w:r>
      <w:r w:rsidRPr="2CE1B60A" w:rsidR="2CE1B60A">
        <w:rPr>
          <w:rFonts w:ascii="Times New Roman" w:hAnsi="Times New Roman" w:cs="Times New Roman"/>
          <w:sz w:val="24"/>
          <w:szCs w:val="24"/>
        </w:rPr>
        <w:t xml:space="preserve"> households that pay a high proportion of household income for drinking water and wastewater services including stormwater to arrearages by up to 100 percent </w:t>
      </w:r>
      <w:r w:rsidRPr="2CE1B60A" w:rsidR="2CE1B60A">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to remain available until expended.</w:t>
      </w:r>
    </w:p>
    <w:bookmarkEnd w:id="0"/>
    <w:p w:rsidR="00803588" w:rsidP="00803588" w:rsidRDefault="00102547" w14:paraId="4C380CC0" w14:textId="04A43197">
      <w:pPr>
        <w:rPr>
          <w:rFonts w:ascii="Times New Roman" w:hAnsi="Times New Roman" w:cs="Times New Roman"/>
          <w:sz w:val="24"/>
          <w:szCs w:val="24"/>
        </w:rPr>
      </w:pPr>
      <w:r w:rsidRPr="001D1047">
        <w:rPr>
          <w:rFonts w:ascii="Times New Roman" w:hAnsi="Times New Roman" w:cs="Times New Roman"/>
          <w:b/>
          <w:bCs/>
          <w:sz w:val="24"/>
          <w:szCs w:val="24"/>
        </w:rPr>
        <w:t>Sewer</w:t>
      </w:r>
      <w:r w:rsidRPr="001D1047" w:rsidR="00F94BE1">
        <w:rPr>
          <w:rFonts w:ascii="Times New Roman" w:hAnsi="Times New Roman" w:cs="Times New Roman"/>
          <w:b/>
          <w:bCs/>
          <w:sz w:val="24"/>
          <w:szCs w:val="24"/>
        </w:rPr>
        <w:t xml:space="preserve"> O</w:t>
      </w:r>
      <w:r w:rsidRPr="001D1047">
        <w:rPr>
          <w:rFonts w:ascii="Times New Roman" w:hAnsi="Times New Roman" w:cs="Times New Roman"/>
          <w:b/>
          <w:bCs/>
          <w:sz w:val="24"/>
          <w:szCs w:val="24"/>
        </w:rPr>
        <w:t>verflow</w:t>
      </w:r>
      <w:r w:rsidRPr="001D1047" w:rsidR="00F94BE1">
        <w:rPr>
          <w:rFonts w:ascii="Times New Roman" w:hAnsi="Times New Roman" w:cs="Times New Roman"/>
          <w:b/>
          <w:bCs/>
          <w:sz w:val="24"/>
          <w:szCs w:val="24"/>
        </w:rPr>
        <w:t xml:space="preserve"> and Stormwater Reuse</w:t>
      </w:r>
      <w:r w:rsidRPr="001D1047" w:rsidR="00F12014">
        <w:rPr>
          <w:rFonts w:ascii="Times New Roman" w:hAnsi="Times New Roman" w:cs="Times New Roman"/>
          <w:b/>
          <w:bCs/>
          <w:sz w:val="24"/>
          <w:szCs w:val="24"/>
        </w:rPr>
        <w:t xml:space="preserve"> Municipal Grants</w:t>
      </w:r>
      <w:r w:rsidR="00F12014">
        <w:rPr>
          <w:rFonts w:ascii="Times New Roman" w:hAnsi="Times New Roman" w:cs="Times New Roman"/>
          <w:sz w:val="24"/>
          <w:szCs w:val="24"/>
        </w:rPr>
        <w:t xml:space="preserve"> </w:t>
      </w:r>
      <w:r w:rsidR="00531687">
        <w:rPr>
          <w:rFonts w:ascii="Times New Roman" w:hAnsi="Times New Roman" w:cs="Times New Roman"/>
          <w:sz w:val="24"/>
          <w:szCs w:val="24"/>
        </w:rPr>
        <w:t>(</w:t>
      </w:r>
      <w:r w:rsidR="00B94245">
        <w:rPr>
          <w:rFonts w:ascii="Times New Roman" w:hAnsi="Times New Roman" w:cs="Times New Roman"/>
          <w:sz w:val="24"/>
          <w:szCs w:val="24"/>
        </w:rPr>
        <w:t>Section 100</w:t>
      </w:r>
      <w:r w:rsidR="00882844">
        <w:rPr>
          <w:rFonts w:ascii="Times New Roman" w:hAnsi="Times New Roman" w:cs="Times New Roman"/>
          <w:sz w:val="24"/>
          <w:szCs w:val="24"/>
        </w:rPr>
        <w:t>029</w:t>
      </w:r>
      <w:r w:rsidR="00531687">
        <w:rPr>
          <w:rFonts w:ascii="Times New Roman" w:hAnsi="Times New Roman" w:cs="Times New Roman"/>
          <w:sz w:val="24"/>
          <w:szCs w:val="24"/>
        </w:rPr>
        <w:t>)</w:t>
      </w:r>
      <w:r w:rsidR="00882844">
        <w:rPr>
          <w:rFonts w:ascii="Times New Roman" w:hAnsi="Times New Roman" w:cs="Times New Roman"/>
          <w:sz w:val="24"/>
          <w:szCs w:val="24"/>
        </w:rPr>
        <w:t xml:space="preserve">. </w:t>
      </w:r>
    </w:p>
    <w:p w:rsidR="006B7618" w:rsidP="776EDE38" w:rsidRDefault="49D39896" w14:paraId="31B7D470" w14:textId="3776168F">
      <w:pPr>
        <w:pStyle w:val="Normal"/>
        <w:rPr>
          <w:rFonts w:ascii="Times New Roman" w:hAnsi="Times New Roman" w:eastAsia="Times New Roman" w:cs="Times New Roman"/>
          <w:noProof w:val="0"/>
          <w:sz w:val="24"/>
          <w:szCs w:val="24"/>
          <w:lang w:val="en-US"/>
        </w:rPr>
      </w:pPr>
      <w:r w:rsidRPr="776EDE38" w:rsidR="776EDE38">
        <w:rPr>
          <w:rFonts w:ascii="Times New Roman" w:hAnsi="Times New Roman" w:cs="Times New Roman"/>
          <w:sz w:val="24"/>
          <w:szCs w:val="24"/>
        </w:rPr>
        <w:t xml:space="preserve">This provision appropriates $1 billion to carry out Section 221 of the Clean Water Act for 2022 pertaining to the control of combined sewer overflows (CSOs) and any measures to reduce, manage or recapture stormwater and subsurface drainage water </w:t>
      </w:r>
      <w:r w:rsidRPr="776EDE38" w:rsidR="776EDE3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to remain available until expended.</w:t>
      </w:r>
    </w:p>
    <w:p w:rsidR="49D39896" w:rsidP="49D39896" w:rsidRDefault="49D39896" w14:paraId="532590AD" w14:textId="050EDFFF">
      <w:pPr>
        <w:rPr>
          <w:rFonts w:ascii="Times New Roman" w:hAnsi="Times New Roman" w:cs="Times New Roman"/>
          <w:sz w:val="24"/>
          <w:szCs w:val="24"/>
        </w:rPr>
      </w:pPr>
      <w:r w:rsidRPr="49D39896">
        <w:rPr>
          <w:rFonts w:ascii="Times New Roman" w:hAnsi="Times New Roman" w:cs="Times New Roman"/>
          <w:sz w:val="24"/>
          <w:szCs w:val="24"/>
        </w:rPr>
        <w:t>END</w:t>
      </w:r>
    </w:p>
    <w:p w:rsidR="002D4D50" w:rsidP="002D4D50" w:rsidRDefault="002D4D50" w14:paraId="129068E9" w14:textId="1D4DF227">
      <w:pPr>
        <w:rPr>
          <w:rFonts w:ascii="Times New Roman" w:hAnsi="Times New Roman" w:cs="Times New Roman"/>
          <w:sz w:val="24"/>
          <w:szCs w:val="24"/>
        </w:rPr>
      </w:pPr>
    </w:p>
    <w:p w:rsidR="008652D2" w:rsidRDefault="008652D2" w14:paraId="1A2187E6" w14:textId="1EC9C1F4">
      <w:pPr>
        <w:rPr>
          <w:rFonts w:ascii="Times New Roman" w:hAnsi="Times New Roman" w:cs="Times New Roman"/>
          <w:sz w:val="24"/>
          <w:szCs w:val="24"/>
        </w:rPr>
      </w:pPr>
    </w:p>
    <w:p w:rsidRPr="00D164C1" w:rsidR="00943C56" w:rsidRDefault="00943C56" w14:paraId="5D900EF7" w14:textId="77777777">
      <w:pPr>
        <w:rPr>
          <w:rFonts w:ascii="Times New Roman" w:hAnsi="Times New Roman" w:cs="Times New Roman"/>
          <w:sz w:val="24"/>
          <w:szCs w:val="24"/>
        </w:rPr>
      </w:pPr>
    </w:p>
    <w:sectPr w:rsidRPr="00D164C1" w:rsidR="00943C56">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352C1FD"/>
    <w:rsid w:val="000376F3"/>
    <w:rsid w:val="00102547"/>
    <w:rsid w:val="00143E50"/>
    <w:rsid w:val="001614EE"/>
    <w:rsid w:val="00187F50"/>
    <w:rsid w:val="00197F3D"/>
    <w:rsid w:val="001D1047"/>
    <w:rsid w:val="001D1FEA"/>
    <w:rsid w:val="0021124C"/>
    <w:rsid w:val="0021619D"/>
    <w:rsid w:val="002320E2"/>
    <w:rsid w:val="002D4D50"/>
    <w:rsid w:val="002E38B9"/>
    <w:rsid w:val="00356C5F"/>
    <w:rsid w:val="00391497"/>
    <w:rsid w:val="003A0C18"/>
    <w:rsid w:val="004159D6"/>
    <w:rsid w:val="00422083"/>
    <w:rsid w:val="004300AA"/>
    <w:rsid w:val="00440759"/>
    <w:rsid w:val="004A3977"/>
    <w:rsid w:val="004D02F7"/>
    <w:rsid w:val="005056D3"/>
    <w:rsid w:val="00531687"/>
    <w:rsid w:val="00596C76"/>
    <w:rsid w:val="005A232D"/>
    <w:rsid w:val="005C29DA"/>
    <w:rsid w:val="0062442F"/>
    <w:rsid w:val="0063223B"/>
    <w:rsid w:val="00640EEF"/>
    <w:rsid w:val="00687461"/>
    <w:rsid w:val="006B7618"/>
    <w:rsid w:val="006C4633"/>
    <w:rsid w:val="006D0F45"/>
    <w:rsid w:val="007434A5"/>
    <w:rsid w:val="00794973"/>
    <w:rsid w:val="007B1C3B"/>
    <w:rsid w:val="007C7698"/>
    <w:rsid w:val="007F7F68"/>
    <w:rsid w:val="00803588"/>
    <w:rsid w:val="008424EB"/>
    <w:rsid w:val="00852C8A"/>
    <w:rsid w:val="0086457D"/>
    <w:rsid w:val="008652D2"/>
    <w:rsid w:val="008807F9"/>
    <w:rsid w:val="00882844"/>
    <w:rsid w:val="0088649D"/>
    <w:rsid w:val="00943C56"/>
    <w:rsid w:val="00961D9D"/>
    <w:rsid w:val="009761DD"/>
    <w:rsid w:val="009F308B"/>
    <w:rsid w:val="009F5F91"/>
    <w:rsid w:val="00A20D17"/>
    <w:rsid w:val="00A575F9"/>
    <w:rsid w:val="00A67EA6"/>
    <w:rsid w:val="00AE0CD1"/>
    <w:rsid w:val="00B2216E"/>
    <w:rsid w:val="00B34B53"/>
    <w:rsid w:val="00B3578A"/>
    <w:rsid w:val="00B94245"/>
    <w:rsid w:val="00BE1B56"/>
    <w:rsid w:val="00BF65D1"/>
    <w:rsid w:val="00C247CF"/>
    <w:rsid w:val="00C54852"/>
    <w:rsid w:val="00C62A8A"/>
    <w:rsid w:val="00CD0617"/>
    <w:rsid w:val="00CD44C5"/>
    <w:rsid w:val="00D164C1"/>
    <w:rsid w:val="00D30E62"/>
    <w:rsid w:val="00D549CF"/>
    <w:rsid w:val="00D9767A"/>
    <w:rsid w:val="00E041D9"/>
    <w:rsid w:val="00E31ADF"/>
    <w:rsid w:val="00E425D4"/>
    <w:rsid w:val="00E435A6"/>
    <w:rsid w:val="00E45598"/>
    <w:rsid w:val="00E51DCD"/>
    <w:rsid w:val="00EA0EB1"/>
    <w:rsid w:val="00EF488B"/>
    <w:rsid w:val="00F12014"/>
    <w:rsid w:val="00F51058"/>
    <w:rsid w:val="00F537CA"/>
    <w:rsid w:val="00F9115B"/>
    <w:rsid w:val="00F94BE1"/>
    <w:rsid w:val="00FA4D66"/>
    <w:rsid w:val="00FD137D"/>
    <w:rsid w:val="028A5377"/>
    <w:rsid w:val="095B9930"/>
    <w:rsid w:val="1E98B009"/>
    <w:rsid w:val="219E829F"/>
    <w:rsid w:val="2CE1B60A"/>
    <w:rsid w:val="2F2799AC"/>
    <w:rsid w:val="3352C1FD"/>
    <w:rsid w:val="3B6217F2"/>
    <w:rsid w:val="49D39896"/>
    <w:rsid w:val="5F728FE4"/>
    <w:rsid w:val="644A0EF5"/>
    <w:rsid w:val="64CBFBAF"/>
    <w:rsid w:val="776EDE3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98B009"/>
  <w15:chartTrackingRefBased/>
  <w15:docId w15:val="{27FB764E-06D6-483B-A638-5F6E9847D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Marchant Wentworth</dc:creator>
  <keywords/>
  <dc:description/>
  <lastModifiedBy>Marchant Wentworth</lastModifiedBy>
  <revision>6</revision>
  <dcterms:created xsi:type="dcterms:W3CDTF">2021-11-20T21:59:00.0000000Z</dcterms:created>
  <dcterms:modified xsi:type="dcterms:W3CDTF">2021-11-21T16:10:33.1800990Z</dcterms:modified>
</coreProperties>
</file>